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B1" w:rsidRDefault="00CD17F9">
      <w:r w:rsidRPr="005226A4">
        <w:rPr>
          <w:highlight w:val="yellow"/>
        </w:rPr>
        <w:t>06/15/2018 update: Since the lump sum payments are being paid using earnings code MPS, the below method will only work on state withholding taxes.  Federal taxes will be taken on the current supplemental rate as described on pages 19 + 20 of Publication 15.</w:t>
      </w:r>
    </w:p>
    <w:p w:rsidR="00CD17F9" w:rsidRDefault="00CD17F9"/>
    <w:p w:rsidR="00CD17F9" w:rsidRPr="00000D19" w:rsidRDefault="00CD17F9"/>
    <w:p w:rsidR="008B235C" w:rsidRPr="00A356D4" w:rsidRDefault="00EB436A" w:rsidP="008B235C">
      <w:pPr>
        <w:pStyle w:val="PlainText"/>
        <w:rPr>
          <w:rFonts w:ascii="Times New Roman" w:hAnsi="Times New Roman" w:cs="Times New Roman"/>
          <w:color w:val="FF0000"/>
          <w:sz w:val="24"/>
          <w:szCs w:val="24"/>
        </w:rPr>
      </w:pPr>
      <w:r>
        <w:rPr>
          <w:rFonts w:ascii="Times New Roman" w:hAnsi="Times New Roman" w:cs="Times New Roman"/>
          <w:sz w:val="24"/>
          <w:szCs w:val="24"/>
        </w:rPr>
        <w:t>The</w:t>
      </w:r>
      <w:r w:rsidR="008B235C" w:rsidRPr="00000D19">
        <w:rPr>
          <w:rFonts w:ascii="Times New Roman" w:hAnsi="Times New Roman" w:cs="Times New Roman"/>
          <w:sz w:val="24"/>
          <w:szCs w:val="24"/>
        </w:rPr>
        <w:t xml:space="preserve"> 2017 </w:t>
      </w:r>
      <w:r w:rsidR="00683339" w:rsidRPr="00000D19">
        <w:rPr>
          <w:rFonts w:ascii="Times New Roman" w:hAnsi="Times New Roman" w:cs="Times New Roman"/>
          <w:sz w:val="24"/>
          <w:szCs w:val="24"/>
        </w:rPr>
        <w:t xml:space="preserve">SEBAC </w:t>
      </w:r>
      <w:proofErr w:type="spellStart"/>
      <w:r w:rsidR="00683339" w:rsidRPr="00000D19">
        <w:rPr>
          <w:rFonts w:ascii="Times New Roman" w:hAnsi="Times New Roman" w:cs="Times New Roman"/>
          <w:sz w:val="24"/>
          <w:szCs w:val="24"/>
        </w:rPr>
        <w:t>agreement</w:t>
      </w:r>
      <w:r w:rsidR="008B235C" w:rsidRPr="00000D19">
        <w:rPr>
          <w:rFonts w:ascii="Times New Roman" w:hAnsi="Times New Roman" w:cs="Times New Roman"/>
          <w:sz w:val="24"/>
          <w:szCs w:val="24"/>
        </w:rPr>
        <w:t>authorizes</w:t>
      </w:r>
      <w:proofErr w:type="spellEnd"/>
      <w:r w:rsidR="008B235C" w:rsidRPr="00000D19">
        <w:rPr>
          <w:rFonts w:ascii="Times New Roman" w:hAnsi="Times New Roman" w:cs="Times New Roman"/>
          <w:sz w:val="24"/>
          <w:szCs w:val="24"/>
        </w:rPr>
        <w:t xml:space="preserve"> a $2,000 lump sum payment to all </w:t>
      </w:r>
      <w:r>
        <w:rPr>
          <w:rFonts w:ascii="Times New Roman" w:hAnsi="Times New Roman" w:cs="Times New Roman"/>
          <w:sz w:val="24"/>
          <w:szCs w:val="24"/>
        </w:rPr>
        <w:t xml:space="preserve">bargaining unit </w:t>
      </w:r>
      <w:r w:rsidR="008B235C" w:rsidRPr="00000D19">
        <w:rPr>
          <w:rFonts w:ascii="Times New Roman" w:hAnsi="Times New Roman" w:cs="Times New Roman"/>
          <w:sz w:val="24"/>
          <w:szCs w:val="24"/>
        </w:rPr>
        <w:t>employees</w:t>
      </w:r>
      <w:r>
        <w:rPr>
          <w:rFonts w:ascii="Times New Roman" w:hAnsi="Times New Roman" w:cs="Times New Roman"/>
          <w:sz w:val="24"/>
          <w:szCs w:val="24"/>
        </w:rPr>
        <w:t>,</w:t>
      </w:r>
      <w:r w:rsidR="008B235C" w:rsidRPr="00000D19">
        <w:rPr>
          <w:rFonts w:ascii="Times New Roman" w:hAnsi="Times New Roman" w:cs="Times New Roman"/>
          <w:sz w:val="24"/>
          <w:szCs w:val="24"/>
        </w:rPr>
        <w:t xml:space="preserve"> or a top step lump sum plus $1,000 if greater, pro-rated for part-</w:t>
      </w:r>
      <w:r w:rsidR="008B235C" w:rsidRPr="008473E3">
        <w:rPr>
          <w:rFonts w:ascii="Times New Roman" w:hAnsi="Times New Roman" w:cs="Times New Roman"/>
          <w:sz w:val="24"/>
          <w:szCs w:val="24"/>
        </w:rPr>
        <w:t>time</w:t>
      </w:r>
      <w:r w:rsidR="004413DB" w:rsidRPr="00A356D4">
        <w:rPr>
          <w:rFonts w:ascii="Times New Roman" w:hAnsi="Times New Roman" w:cs="Times New Roman"/>
          <w:sz w:val="24"/>
          <w:szCs w:val="24"/>
        </w:rPr>
        <w:t>.</w:t>
      </w:r>
    </w:p>
    <w:p w:rsidR="008B235C" w:rsidRPr="00000D19" w:rsidRDefault="008B235C" w:rsidP="008B235C">
      <w:pPr>
        <w:pStyle w:val="PlainText"/>
        <w:rPr>
          <w:rFonts w:ascii="Times New Roman" w:hAnsi="Times New Roman" w:cs="Times New Roman"/>
          <w:sz w:val="24"/>
          <w:szCs w:val="24"/>
        </w:rPr>
      </w:pPr>
    </w:p>
    <w:p w:rsidR="008B235C" w:rsidRPr="00000D19" w:rsidRDefault="008B235C" w:rsidP="008B235C">
      <w:pPr>
        <w:pStyle w:val="PlainText"/>
        <w:rPr>
          <w:rFonts w:ascii="Times New Roman" w:hAnsi="Times New Roman" w:cs="Times New Roman"/>
          <w:sz w:val="24"/>
          <w:szCs w:val="24"/>
        </w:rPr>
      </w:pPr>
      <w:r w:rsidRPr="00000D19">
        <w:rPr>
          <w:rFonts w:ascii="Times New Roman" w:hAnsi="Times New Roman" w:cs="Times New Roman"/>
          <w:sz w:val="24"/>
          <w:szCs w:val="24"/>
        </w:rPr>
        <w:t xml:space="preserve">Agencies can designate the </w:t>
      </w:r>
      <w:r w:rsidR="00EB436A">
        <w:rPr>
          <w:rFonts w:ascii="Times New Roman" w:hAnsi="Times New Roman" w:cs="Times New Roman"/>
          <w:sz w:val="24"/>
          <w:szCs w:val="24"/>
        </w:rPr>
        <w:t>number</w:t>
      </w:r>
      <w:r w:rsidR="00EB436A" w:rsidRPr="00000D19">
        <w:rPr>
          <w:rFonts w:ascii="Times New Roman" w:hAnsi="Times New Roman" w:cs="Times New Roman"/>
          <w:sz w:val="24"/>
          <w:szCs w:val="24"/>
        </w:rPr>
        <w:t xml:space="preserve"> </w:t>
      </w:r>
      <w:r w:rsidRPr="00000D19">
        <w:rPr>
          <w:rFonts w:ascii="Times New Roman" w:hAnsi="Times New Roman" w:cs="Times New Roman"/>
          <w:sz w:val="24"/>
          <w:szCs w:val="24"/>
        </w:rPr>
        <w:t xml:space="preserve">of tax periods for those employees who want to distribute their taxes over multiple weeks. </w:t>
      </w:r>
      <w:r w:rsidR="00000D19" w:rsidRPr="00000D19">
        <w:rPr>
          <w:rFonts w:ascii="Times New Roman" w:hAnsi="Times New Roman" w:cs="Times New Roman"/>
          <w:color w:val="FF0000"/>
          <w:sz w:val="24"/>
          <w:szCs w:val="24"/>
        </w:rPr>
        <w:t xml:space="preserve">Agency HR/payroll staff </w:t>
      </w:r>
      <w:r w:rsidR="00EB436A">
        <w:rPr>
          <w:rFonts w:ascii="Times New Roman" w:hAnsi="Times New Roman" w:cs="Times New Roman"/>
          <w:color w:val="FF0000"/>
          <w:sz w:val="24"/>
          <w:szCs w:val="24"/>
        </w:rPr>
        <w:t>are</w:t>
      </w:r>
      <w:r w:rsidR="00000D19" w:rsidRPr="00000D19">
        <w:rPr>
          <w:rFonts w:ascii="Times New Roman" w:hAnsi="Times New Roman" w:cs="Times New Roman"/>
          <w:color w:val="FF0000"/>
          <w:sz w:val="24"/>
          <w:szCs w:val="24"/>
        </w:rPr>
        <w:t xml:space="preserve"> responsible for informing/coordinating this option with employees</w:t>
      </w:r>
      <w:r w:rsidR="00000D19" w:rsidRPr="00000D19">
        <w:rPr>
          <w:rFonts w:ascii="Times New Roman" w:hAnsi="Times New Roman" w:cs="Times New Roman"/>
          <w:sz w:val="24"/>
          <w:szCs w:val="24"/>
        </w:rPr>
        <w:t xml:space="preserve">.  </w:t>
      </w:r>
      <w:r w:rsidRPr="00000D19">
        <w:rPr>
          <w:rFonts w:ascii="Times New Roman" w:hAnsi="Times New Roman" w:cs="Times New Roman"/>
          <w:sz w:val="24"/>
          <w:szCs w:val="24"/>
        </w:rPr>
        <w:t xml:space="preserve">Employees </w:t>
      </w:r>
      <w:bookmarkStart w:id="0" w:name="_GoBack"/>
      <w:bookmarkEnd w:id="0"/>
      <w:r w:rsidRPr="00000D19">
        <w:rPr>
          <w:rFonts w:ascii="Times New Roman" w:hAnsi="Times New Roman" w:cs="Times New Roman"/>
          <w:sz w:val="24"/>
          <w:szCs w:val="24"/>
        </w:rPr>
        <w:t xml:space="preserve">may </w:t>
      </w:r>
      <w:r w:rsidR="00683339" w:rsidRPr="00000D19">
        <w:rPr>
          <w:rFonts w:ascii="Times New Roman" w:hAnsi="Times New Roman" w:cs="Times New Roman"/>
          <w:sz w:val="24"/>
          <w:szCs w:val="24"/>
        </w:rPr>
        <w:t>choose</w:t>
      </w:r>
      <w:r w:rsidRPr="00000D19">
        <w:rPr>
          <w:rFonts w:ascii="Times New Roman" w:hAnsi="Times New Roman" w:cs="Times New Roman"/>
          <w:sz w:val="24"/>
          <w:szCs w:val="24"/>
        </w:rPr>
        <w:t xml:space="preserve"> up to 12 Tax Periods depending on how often they are paid. For Bi-weekly and Special Bi-weekly employees, up to 12 tax period</w:t>
      </w:r>
      <w:r w:rsidR="00EB436A">
        <w:rPr>
          <w:rFonts w:ascii="Times New Roman" w:hAnsi="Times New Roman" w:cs="Times New Roman"/>
          <w:sz w:val="24"/>
          <w:szCs w:val="24"/>
        </w:rPr>
        <w:t>s may be used; for</w:t>
      </w:r>
      <w:r w:rsidRPr="00000D19">
        <w:rPr>
          <w:rFonts w:ascii="Times New Roman" w:hAnsi="Times New Roman" w:cs="Times New Roman"/>
          <w:sz w:val="24"/>
          <w:szCs w:val="24"/>
        </w:rPr>
        <w:t xml:space="preserve"> Semi-monthly, up to 11 tax periods </w:t>
      </w:r>
      <w:r w:rsidR="00EB436A">
        <w:rPr>
          <w:rFonts w:ascii="Times New Roman" w:hAnsi="Times New Roman" w:cs="Times New Roman"/>
          <w:sz w:val="24"/>
          <w:szCs w:val="24"/>
        </w:rPr>
        <w:t>may be used;</w:t>
      </w:r>
      <w:r w:rsidRPr="00000D19">
        <w:rPr>
          <w:rFonts w:ascii="Times New Roman" w:hAnsi="Times New Roman" w:cs="Times New Roman"/>
          <w:sz w:val="24"/>
          <w:szCs w:val="24"/>
        </w:rPr>
        <w:t xml:space="preserve"> and </w:t>
      </w:r>
      <w:r w:rsidR="00EB436A">
        <w:rPr>
          <w:rFonts w:ascii="Times New Roman" w:hAnsi="Times New Roman" w:cs="Times New Roman"/>
          <w:sz w:val="24"/>
          <w:szCs w:val="24"/>
        </w:rPr>
        <w:t xml:space="preserve">for </w:t>
      </w:r>
      <w:r w:rsidRPr="00000D19">
        <w:rPr>
          <w:rFonts w:ascii="Times New Roman" w:hAnsi="Times New Roman" w:cs="Times New Roman"/>
          <w:sz w:val="24"/>
          <w:szCs w:val="24"/>
        </w:rPr>
        <w:t>Monthly, up to 6 tax periods</w:t>
      </w:r>
      <w:r w:rsidR="00EB436A">
        <w:rPr>
          <w:rFonts w:ascii="Times New Roman" w:hAnsi="Times New Roman" w:cs="Times New Roman"/>
          <w:sz w:val="24"/>
          <w:szCs w:val="24"/>
        </w:rPr>
        <w:t xml:space="preserve"> are available</w:t>
      </w:r>
      <w:r w:rsidRPr="00000D19">
        <w:rPr>
          <w:rFonts w:ascii="Times New Roman" w:hAnsi="Times New Roman" w:cs="Times New Roman"/>
          <w:sz w:val="24"/>
          <w:szCs w:val="24"/>
        </w:rPr>
        <w:t xml:space="preserve">.  For </w:t>
      </w:r>
      <w:r w:rsidR="00683339" w:rsidRPr="00000D19">
        <w:rPr>
          <w:rFonts w:ascii="Times New Roman" w:hAnsi="Times New Roman" w:cs="Times New Roman"/>
          <w:sz w:val="24"/>
          <w:szCs w:val="24"/>
        </w:rPr>
        <w:t>reference,</w:t>
      </w:r>
      <w:r w:rsidRPr="00000D19">
        <w:rPr>
          <w:rFonts w:ascii="Times New Roman" w:hAnsi="Times New Roman" w:cs="Times New Roman"/>
          <w:sz w:val="24"/>
          <w:szCs w:val="24"/>
        </w:rPr>
        <w:t xml:space="preserve"> 10 days equals 1 Tax Period. </w:t>
      </w:r>
    </w:p>
    <w:p w:rsidR="004413DB" w:rsidRDefault="004413DB" w:rsidP="008B235C">
      <w:pPr>
        <w:pStyle w:val="PlainText"/>
        <w:rPr>
          <w:rFonts w:ascii="Times New Roman" w:eastAsia="Times New Roman" w:hAnsi="Times New Roman" w:cs="Times New Roman"/>
          <w:sz w:val="24"/>
          <w:szCs w:val="24"/>
        </w:rPr>
      </w:pPr>
    </w:p>
    <w:p w:rsidR="004413DB" w:rsidRDefault="008473E3" w:rsidP="008B235C">
      <w:pPr>
        <w:pStyle w:val="PlainText"/>
        <w:rPr>
          <w:rFonts w:ascii="Times New Roman" w:hAnsi="Times New Roman" w:cs="Times New Roman"/>
          <w:sz w:val="24"/>
          <w:szCs w:val="24"/>
        </w:rPr>
      </w:pPr>
      <w:r>
        <w:rPr>
          <w:noProof/>
          <w:u w:val="single"/>
        </w:rPr>
        <mc:AlternateContent>
          <mc:Choice Requires="wps">
            <w:drawing>
              <wp:anchor distT="0" distB="0" distL="114300" distR="114300" simplePos="0" relativeHeight="251659264" behindDoc="0" locked="0" layoutInCell="1" allowOverlap="1" wp14:anchorId="044FDD8C" wp14:editId="06F2ECD9">
                <wp:simplePos x="0" y="0"/>
                <wp:positionH relativeFrom="column">
                  <wp:posOffset>-91440</wp:posOffset>
                </wp:positionH>
                <wp:positionV relativeFrom="paragraph">
                  <wp:posOffset>53975</wp:posOffset>
                </wp:positionV>
                <wp:extent cx="5562600" cy="960120"/>
                <wp:effectExtent l="0" t="0" r="19050" b="11430"/>
                <wp:wrapNone/>
                <wp:docPr id="3" name="Rounded Rectangle 3"/>
                <wp:cNvGraphicFramePr/>
                <a:graphic xmlns:a="http://schemas.openxmlformats.org/drawingml/2006/main">
                  <a:graphicData uri="http://schemas.microsoft.com/office/word/2010/wordprocessingShape">
                    <wps:wsp>
                      <wps:cNvSpPr/>
                      <wps:spPr>
                        <a:xfrm>
                          <a:off x="0" y="0"/>
                          <a:ext cx="5562600" cy="960120"/>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679AA03" id="Rounded Rectangle 3" o:spid="_x0000_s1026" style="position:absolute;margin-left:-7.2pt;margin-top:4.25pt;width:438pt;height:7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" fillcolor="#4f81bd [3204]" strokecolor="#243f60 [1604]" strokeweight="2pt">
                <v:fill opacity="0"/>
              </v:roundrect>
            </w:pict>
          </mc:Fallback>
        </mc:AlternateContent>
      </w:r>
    </w:p>
    <w:p w:rsidR="001F77B3" w:rsidRDefault="00EB436A" w:rsidP="001F77B3">
      <w:r>
        <w:rPr>
          <w:u w:val="single"/>
        </w:rPr>
        <w:t>IMPORTANT</w:t>
      </w:r>
    </w:p>
    <w:p w:rsidR="001F77B3" w:rsidRDefault="001F77B3" w:rsidP="00CB6C64">
      <w:pPr>
        <w:ind w:left="720"/>
      </w:pPr>
      <w:r>
        <w:t xml:space="preserve">Employees that have additional amounts withheld for taxes will affect the Tax Periods. </w:t>
      </w:r>
      <w:r w:rsidR="00EB436A">
        <w:t>For example, if a</w:t>
      </w:r>
      <w:r>
        <w:t xml:space="preserve">n employee has $100 additional withholding and sets their Tax Periods to 10, </w:t>
      </w:r>
      <w:r w:rsidR="00EB436A">
        <w:t xml:space="preserve">they </w:t>
      </w:r>
      <w:r>
        <w:t>will have an additional $1,000 withheld</w:t>
      </w:r>
      <w:r w:rsidR="004413DB">
        <w:t>.</w:t>
      </w:r>
    </w:p>
    <w:p w:rsidR="00CB6C64" w:rsidRDefault="00CB6C64" w:rsidP="001F77B3"/>
    <w:p w:rsidR="001F77B3" w:rsidRDefault="001F77B3" w:rsidP="008B235C">
      <w:pPr>
        <w:pStyle w:val="PlainText"/>
        <w:rPr>
          <w:rFonts w:ascii="Times New Roman" w:hAnsi="Times New Roman" w:cs="Times New Roman"/>
          <w:sz w:val="24"/>
          <w:szCs w:val="24"/>
        </w:rPr>
      </w:pPr>
    </w:p>
    <w:p w:rsidR="008B235C" w:rsidRDefault="008B235C" w:rsidP="008B235C">
      <w:pPr>
        <w:pStyle w:val="PlainText"/>
        <w:rPr>
          <w:rFonts w:ascii="Times New Roman" w:hAnsi="Times New Roman" w:cs="Times New Roman"/>
          <w:sz w:val="24"/>
          <w:szCs w:val="24"/>
        </w:rPr>
      </w:pPr>
      <w:r>
        <w:rPr>
          <w:rFonts w:ascii="Times New Roman" w:hAnsi="Times New Roman" w:cs="Times New Roman"/>
          <w:sz w:val="24"/>
          <w:szCs w:val="24"/>
        </w:rPr>
        <w:t xml:space="preserve">To change the number of Tax Periods, Navigate to the Create Additional Pay page for the employee, Payroll for North America/Employee Pay Data USA/ Create </w:t>
      </w:r>
      <w:r w:rsidR="00683339">
        <w:rPr>
          <w:rFonts w:ascii="Times New Roman" w:hAnsi="Times New Roman" w:cs="Times New Roman"/>
          <w:sz w:val="24"/>
          <w:szCs w:val="24"/>
        </w:rPr>
        <w:t>Additional</w:t>
      </w:r>
      <w:r>
        <w:rPr>
          <w:rFonts w:ascii="Times New Roman" w:hAnsi="Times New Roman" w:cs="Times New Roman"/>
          <w:sz w:val="24"/>
          <w:szCs w:val="24"/>
        </w:rPr>
        <w:t xml:space="preserve"> Pay.</w:t>
      </w:r>
    </w:p>
    <w:p w:rsidR="008B235C" w:rsidRDefault="008B235C" w:rsidP="008B235C">
      <w:pPr>
        <w:pStyle w:val="PlainText"/>
        <w:rPr>
          <w:rFonts w:ascii="Times New Roman" w:hAnsi="Times New Roman" w:cs="Times New Roman"/>
          <w:sz w:val="24"/>
          <w:szCs w:val="24"/>
        </w:rPr>
      </w:pPr>
    </w:p>
    <w:p w:rsidR="001F77B3" w:rsidRPr="007D77E5" w:rsidRDefault="007D77E5" w:rsidP="00A356D4">
      <w:r>
        <w:br w:type="page"/>
      </w:r>
      <w:r w:rsidR="008473E3">
        <w:lastRenderedPageBreak/>
        <w:t>U</w:t>
      </w:r>
      <w:r w:rsidR="001F77B3">
        <w:t xml:space="preserve">nder the MPS Earnings code, which is being used for the Lump Sum Payment, add a row, use the effective date of 6/23/18. </w:t>
      </w:r>
    </w:p>
    <w:p w:rsidR="001F77B3" w:rsidRDefault="001F77B3" w:rsidP="008B235C">
      <w:pPr>
        <w:pStyle w:val="PlainText"/>
        <w:rPr>
          <w:rFonts w:ascii="Times New Roman" w:hAnsi="Times New Roman" w:cs="Times New Roman"/>
          <w:sz w:val="24"/>
          <w:szCs w:val="24"/>
        </w:rPr>
      </w:pPr>
    </w:p>
    <w:p w:rsidR="002C0075" w:rsidRDefault="002C0075" w:rsidP="008B235C">
      <w:pPr>
        <w:pStyle w:val="PlainText"/>
        <w:rPr>
          <w:rFonts w:ascii="Times New Roman" w:hAnsi="Times New Roman" w:cs="Times New Roman"/>
          <w:sz w:val="24"/>
          <w:szCs w:val="24"/>
        </w:rPr>
      </w:pPr>
      <w:r>
        <w:rPr>
          <w:noProof/>
        </w:rPr>
        <w:drawing>
          <wp:inline distT="0" distB="0" distL="0" distR="0" wp14:anchorId="634737F2" wp14:editId="3E3A3693">
            <wp:extent cx="5486400" cy="3300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00249"/>
                    </a:xfrm>
                    <a:prstGeom prst="rect">
                      <a:avLst/>
                    </a:prstGeom>
                  </pic:spPr>
                </pic:pic>
              </a:graphicData>
            </a:graphic>
          </wp:inline>
        </w:drawing>
      </w:r>
    </w:p>
    <w:p w:rsidR="002C0075" w:rsidRPr="008B235C" w:rsidRDefault="002C0075" w:rsidP="008B235C">
      <w:pPr>
        <w:pStyle w:val="PlainText"/>
        <w:rPr>
          <w:rFonts w:ascii="Times New Roman" w:hAnsi="Times New Roman" w:cs="Times New Roman"/>
          <w:sz w:val="24"/>
          <w:szCs w:val="24"/>
        </w:rPr>
      </w:pPr>
    </w:p>
    <w:p w:rsidR="00EB436A" w:rsidRDefault="00EB436A">
      <w:pPr>
        <w:rPr>
          <w:rFonts w:eastAsiaTheme="minorHAnsi"/>
        </w:rPr>
      </w:pPr>
      <w:r>
        <w:br w:type="page"/>
      </w:r>
    </w:p>
    <w:p w:rsidR="002C0075" w:rsidRDefault="007E5630" w:rsidP="002C0075">
      <w:pPr>
        <w:pStyle w:val="PlainText"/>
        <w:rPr>
          <w:rFonts w:ascii="Times New Roman" w:hAnsi="Times New Roman" w:cs="Times New Roman"/>
          <w:sz w:val="24"/>
          <w:szCs w:val="24"/>
        </w:rPr>
      </w:pPr>
      <w:r>
        <w:rPr>
          <w:rFonts w:ascii="Times New Roman" w:hAnsi="Times New Roman" w:cs="Times New Roman"/>
          <w:sz w:val="24"/>
          <w:szCs w:val="24"/>
        </w:rPr>
        <w:lastRenderedPageBreak/>
        <w:t>Click on the Tax I</w:t>
      </w:r>
      <w:r w:rsidR="002C0075">
        <w:rPr>
          <w:rFonts w:ascii="Times New Roman" w:hAnsi="Times New Roman" w:cs="Times New Roman"/>
          <w:sz w:val="24"/>
          <w:szCs w:val="24"/>
        </w:rPr>
        <w:t>nformation arro</w:t>
      </w:r>
      <w:r w:rsidR="00683339">
        <w:rPr>
          <w:rFonts w:ascii="Times New Roman" w:hAnsi="Times New Roman" w:cs="Times New Roman"/>
          <w:sz w:val="24"/>
          <w:szCs w:val="24"/>
        </w:rPr>
        <w:t xml:space="preserve">w. </w:t>
      </w:r>
      <w:r w:rsidR="002C0075">
        <w:rPr>
          <w:rFonts w:ascii="Times New Roman" w:hAnsi="Times New Roman" w:cs="Times New Roman"/>
          <w:sz w:val="24"/>
          <w:szCs w:val="24"/>
        </w:rPr>
        <w:t xml:space="preserve"> Before the change</w:t>
      </w:r>
      <w:r w:rsidR="00AB00E4">
        <w:rPr>
          <w:rFonts w:ascii="Times New Roman" w:hAnsi="Times New Roman" w:cs="Times New Roman"/>
          <w:sz w:val="24"/>
          <w:szCs w:val="24"/>
        </w:rPr>
        <w:t>.</w:t>
      </w:r>
    </w:p>
    <w:p w:rsidR="00206565" w:rsidRDefault="00D347A9">
      <w:r>
        <w:rPr>
          <w:noProof/>
        </w:rPr>
        <w:drawing>
          <wp:inline distT="0" distB="0" distL="0" distR="0" wp14:anchorId="0E301A4C" wp14:editId="666D888F">
            <wp:extent cx="5486400" cy="59682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968218"/>
                    </a:xfrm>
                    <a:prstGeom prst="rect">
                      <a:avLst/>
                    </a:prstGeom>
                  </pic:spPr>
                </pic:pic>
              </a:graphicData>
            </a:graphic>
          </wp:inline>
        </w:drawing>
      </w:r>
    </w:p>
    <w:p w:rsidR="003250ED" w:rsidRDefault="003250ED" w:rsidP="00206565"/>
    <w:p w:rsidR="002C0075" w:rsidRDefault="002C0075" w:rsidP="00206565"/>
    <w:p w:rsidR="000B7152" w:rsidRDefault="000B7152" w:rsidP="00206565">
      <w:pPr>
        <w:rPr>
          <w:noProof/>
        </w:rPr>
      </w:pPr>
    </w:p>
    <w:p w:rsidR="000B7152" w:rsidRDefault="000B7152" w:rsidP="00206565">
      <w:pPr>
        <w:rPr>
          <w:noProof/>
        </w:rPr>
      </w:pPr>
    </w:p>
    <w:p w:rsidR="00D347A9" w:rsidRDefault="00D347A9" w:rsidP="00206565"/>
    <w:p w:rsidR="00D347A9" w:rsidRDefault="00D347A9" w:rsidP="00206565"/>
    <w:p w:rsidR="00D347A9" w:rsidRDefault="00D347A9" w:rsidP="00206565"/>
    <w:p w:rsidR="00D347A9" w:rsidRDefault="00D347A9" w:rsidP="00206565"/>
    <w:p w:rsidR="00D347A9" w:rsidRDefault="00D347A9" w:rsidP="00206565"/>
    <w:p w:rsidR="000B7152" w:rsidRDefault="00EB436A" w:rsidP="00206565">
      <w:r>
        <w:br w:type="page"/>
      </w:r>
      <w:r w:rsidR="00D347A9">
        <w:lastRenderedPageBreak/>
        <w:t>Change the tax period per the employee</w:t>
      </w:r>
      <w:r>
        <w:t>’s request</w:t>
      </w:r>
      <w:r w:rsidR="00D347A9">
        <w:t>. Save the page.</w:t>
      </w:r>
    </w:p>
    <w:p w:rsidR="00D347A9" w:rsidRDefault="00D347A9" w:rsidP="00206565"/>
    <w:p w:rsidR="00D347A9" w:rsidRDefault="00D347A9" w:rsidP="00206565">
      <w:pPr>
        <w:rPr>
          <w:noProof/>
        </w:rPr>
      </w:pPr>
      <w:r>
        <w:rPr>
          <w:noProof/>
        </w:rPr>
        <w:drawing>
          <wp:inline distT="0" distB="0" distL="0" distR="0" wp14:anchorId="3D096E97" wp14:editId="2CECEF0F">
            <wp:extent cx="5486400" cy="237685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2376854"/>
                    </a:xfrm>
                    <a:prstGeom prst="rect">
                      <a:avLst/>
                    </a:prstGeom>
                  </pic:spPr>
                </pic:pic>
              </a:graphicData>
            </a:graphic>
          </wp:inline>
        </w:drawing>
      </w:r>
    </w:p>
    <w:p w:rsidR="000B7152" w:rsidRDefault="000B7152" w:rsidP="00206565">
      <w:pPr>
        <w:rPr>
          <w:noProof/>
        </w:rPr>
      </w:pPr>
    </w:p>
    <w:p w:rsidR="003250ED" w:rsidRDefault="003250E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34088E" w:rsidRDefault="0034088E" w:rsidP="00966204"/>
    <w:p w:rsidR="00BD4267" w:rsidRDefault="00BD4267" w:rsidP="00966204"/>
    <w:p w:rsidR="00BB7C42" w:rsidRDefault="00BB7C42" w:rsidP="00966204"/>
    <w:p w:rsidR="001E7174" w:rsidRDefault="001E7174" w:rsidP="00966204"/>
    <w:p w:rsidR="001E7174" w:rsidRDefault="001E7174" w:rsidP="00966204"/>
    <w:p w:rsidR="001E7174" w:rsidRDefault="001E7174" w:rsidP="00966204"/>
    <w:p w:rsidR="001E7174" w:rsidRDefault="001E7174" w:rsidP="00966204"/>
    <w:p w:rsidR="00564F87" w:rsidRDefault="00564F87" w:rsidP="00966204">
      <w:pPr>
        <w:rPr>
          <w:b/>
          <w:u w:val="single"/>
        </w:rPr>
      </w:pPr>
    </w:p>
    <w:p w:rsidR="00564F87" w:rsidRDefault="00564F87" w:rsidP="00966204">
      <w:pPr>
        <w:rPr>
          <w:b/>
          <w:u w:val="single"/>
        </w:rPr>
      </w:pPr>
    </w:p>
    <w:sectPr w:rsidR="00564F87" w:rsidSect="009D6393">
      <w:headerReference w:type="default" r:id="rId14"/>
      <w:footerReference w:type="defaul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8E" w:rsidRDefault="0061698E" w:rsidP="007607B1">
      <w:r>
        <w:separator/>
      </w:r>
    </w:p>
  </w:endnote>
  <w:endnote w:type="continuationSeparator" w:id="0">
    <w:p w:rsidR="0061698E" w:rsidRDefault="0061698E" w:rsidP="007607B1">
      <w:r>
        <w:continuationSeparator/>
      </w:r>
    </w:p>
  </w:endnote>
  <w:endnote w:type="continuationNotice" w:id="1">
    <w:p w:rsidR="0061698E" w:rsidRDefault="00616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D8" w:rsidRDefault="00FF19D8">
    <w:pPr>
      <w:pStyle w:val="Footer"/>
    </w:pPr>
    <w:r>
      <w:tab/>
    </w:r>
    <w:r>
      <w:tab/>
      <w:t xml:space="preserve">Page </w:t>
    </w:r>
    <w:r>
      <w:rPr>
        <w:b/>
      </w:rPr>
      <w:fldChar w:fldCharType="begin"/>
    </w:r>
    <w:r>
      <w:rPr>
        <w:b/>
      </w:rPr>
      <w:instrText xml:space="preserve"> PAGE  \* Arabic  \* MERGEFORMAT </w:instrText>
    </w:r>
    <w:r>
      <w:rPr>
        <w:b/>
      </w:rPr>
      <w:fldChar w:fldCharType="separate"/>
    </w:r>
    <w:r w:rsidR="00BE0B4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E0B47">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8E" w:rsidRDefault="0061698E" w:rsidP="007607B1">
      <w:r>
        <w:separator/>
      </w:r>
    </w:p>
  </w:footnote>
  <w:footnote w:type="continuationSeparator" w:id="0">
    <w:p w:rsidR="0061698E" w:rsidRDefault="0061698E" w:rsidP="007607B1">
      <w:r>
        <w:continuationSeparator/>
      </w:r>
    </w:p>
  </w:footnote>
  <w:footnote w:type="continuationNotice" w:id="1">
    <w:p w:rsidR="0061698E" w:rsidRDefault="006169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D8" w:rsidRDefault="00FF19D8" w:rsidP="003250ED">
    <w:pPr>
      <w:pStyle w:val="Header"/>
      <w:tabs>
        <w:tab w:val="center" w:pos="5400"/>
        <w:tab w:val="right" w:pos="10800"/>
      </w:tabs>
      <w:rPr>
        <w:sz w:val="20"/>
      </w:rPr>
    </w:pPr>
    <w:r>
      <w:rPr>
        <w:noProof/>
        <w:sz w:val="20"/>
      </w:rPr>
      <mc:AlternateContent>
        <mc:Choice Requires="wps">
          <w:drawing>
            <wp:inline distT="0" distB="0" distL="0" distR="0" wp14:anchorId="6F59C4C7" wp14:editId="61DF0226">
              <wp:extent cx="5486400" cy="1905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D7D4043" id="Rectangle 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0BfAIAAPo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jiM0BfAIAAPoEAAAOAAAA&#10;AAAAAAAAAAAAAC4CAABkcnMvZTJvRG9jLnhtbFBLAQItABQABgAIAAAAIQBt7gnn2AAAAAMBAAAP&#10;AAAAAAAAAAAAAAAAANYEAABkcnMvZG93bnJldi54bWxQSwUGAAAAAAQABADzAAAA2wUAAAAA&#10;" fillcolor="gray" stroked="f">
              <w10:anchorlock/>
            </v:rect>
          </w:pict>
        </mc:Fallback>
      </mc:AlternateContent>
    </w:r>
  </w:p>
  <w:p w:rsidR="00C23D5A" w:rsidRDefault="0061698E" w:rsidP="00C23D5A">
    <w:pPr>
      <w:pStyle w:val="Header"/>
      <w:ind w:left="-1080"/>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0.8pt;margin-top:8pt;width:102.25pt;height:35.7pt;z-index:251656704" o:userdrawn="t" o:allowoverlap="f" fillcolor="#dadada">
          <v:imagedata r:id="rId1" o:title=""/>
        </v:shape>
        <o:OLEObject Type="Embed" ProgID="MSPhotoEd.3" ShapeID="_x0000_s2052" DrawAspect="Content" ObjectID="_1590565378" r:id="rId2"/>
      </w:pict>
    </w:r>
    <w:r w:rsidR="00C23D5A">
      <w:rPr>
        <w:b/>
        <w:sz w:val="28"/>
        <w:szCs w:val="28"/>
      </w:rPr>
      <w:t>Adjusting Tax Periods for SEBAC 2017</w:t>
    </w:r>
  </w:p>
  <w:p w:rsidR="00C23D5A" w:rsidRDefault="00C23D5A" w:rsidP="00C23D5A">
    <w:pPr>
      <w:pStyle w:val="Header"/>
      <w:ind w:left="-1080"/>
      <w:jc w:val="center"/>
      <w:rPr>
        <w:b/>
        <w:sz w:val="28"/>
        <w:szCs w:val="28"/>
      </w:rPr>
    </w:pPr>
    <w:r>
      <w:rPr>
        <w:b/>
        <w:sz w:val="28"/>
        <w:szCs w:val="28"/>
      </w:rPr>
      <w:t>Lump Sum Payments</w:t>
    </w:r>
  </w:p>
  <w:p w:rsidR="00FF19D8" w:rsidRDefault="00FF19D8" w:rsidP="003250ED">
    <w:pPr>
      <w:pStyle w:val="Header"/>
      <w:ind w:left="-1080"/>
      <w:jc w:val="center"/>
      <w:rPr>
        <w:sz w:val="22"/>
        <w:szCs w:val="22"/>
      </w:rPr>
    </w:pPr>
    <w:r>
      <w:rPr>
        <w:sz w:val="22"/>
        <w:szCs w:val="22"/>
      </w:rPr>
      <w:t xml:space="preserve">Last Updated: </w:t>
    </w:r>
    <w:r w:rsidR="00BE0B47">
      <w:rPr>
        <w:sz w:val="22"/>
        <w:szCs w:val="22"/>
      </w:rPr>
      <w:t>June 15</w:t>
    </w:r>
    <w:r>
      <w:rPr>
        <w:sz w:val="22"/>
        <w:szCs w:val="22"/>
      </w:rPr>
      <w:t xml:space="preserve">, </w:t>
    </w:r>
    <w:r w:rsidR="00C23D5A">
      <w:rPr>
        <w:sz w:val="22"/>
        <w:szCs w:val="22"/>
      </w:rPr>
      <w:t>2018</w:t>
    </w:r>
  </w:p>
  <w:p w:rsidR="00FF19D8" w:rsidRPr="003250ED" w:rsidRDefault="00FF19D8">
    <w:pPr>
      <w:pStyle w:val="Header"/>
    </w:pPr>
    <w:r>
      <w:rPr>
        <w:noProof/>
        <w:sz w:val="20"/>
      </w:rPr>
      <mc:AlternateContent>
        <mc:Choice Requires="wps">
          <w:drawing>
            <wp:inline distT="0" distB="0" distL="0" distR="0" wp14:anchorId="7A44D235" wp14:editId="3D413A2F">
              <wp:extent cx="54864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05E0217"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3UtAF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39C"/>
    <w:multiLevelType w:val="hybridMultilevel"/>
    <w:tmpl w:val="CE38C3E0"/>
    <w:lvl w:ilvl="0" w:tplc="E87A1686">
      <w:start w:val="1"/>
      <w:numFmt w:val="bullet"/>
      <w:lvlText w:val="•"/>
      <w:lvlJc w:val="left"/>
      <w:pPr>
        <w:tabs>
          <w:tab w:val="num" w:pos="540"/>
        </w:tabs>
        <w:ind w:left="540" w:hanging="360"/>
      </w:pPr>
      <w:rPr>
        <w:rFonts w:ascii="Times New Roman" w:hAnsi="Times New Roman" w:hint="default"/>
      </w:rPr>
    </w:lvl>
    <w:lvl w:ilvl="1" w:tplc="86C8436E" w:tentative="1">
      <w:start w:val="1"/>
      <w:numFmt w:val="bullet"/>
      <w:lvlText w:val="•"/>
      <w:lvlJc w:val="left"/>
      <w:pPr>
        <w:tabs>
          <w:tab w:val="num" w:pos="1260"/>
        </w:tabs>
        <w:ind w:left="1260" w:hanging="360"/>
      </w:pPr>
      <w:rPr>
        <w:rFonts w:ascii="Times New Roman" w:hAnsi="Times New Roman" w:hint="default"/>
      </w:rPr>
    </w:lvl>
    <w:lvl w:ilvl="2" w:tplc="59F2FFF2" w:tentative="1">
      <w:start w:val="1"/>
      <w:numFmt w:val="bullet"/>
      <w:lvlText w:val="•"/>
      <w:lvlJc w:val="left"/>
      <w:pPr>
        <w:tabs>
          <w:tab w:val="num" w:pos="1980"/>
        </w:tabs>
        <w:ind w:left="1980" w:hanging="360"/>
      </w:pPr>
      <w:rPr>
        <w:rFonts w:ascii="Times New Roman" w:hAnsi="Times New Roman" w:hint="default"/>
      </w:rPr>
    </w:lvl>
    <w:lvl w:ilvl="3" w:tplc="7F68447A" w:tentative="1">
      <w:start w:val="1"/>
      <w:numFmt w:val="bullet"/>
      <w:lvlText w:val="•"/>
      <w:lvlJc w:val="left"/>
      <w:pPr>
        <w:tabs>
          <w:tab w:val="num" w:pos="2700"/>
        </w:tabs>
        <w:ind w:left="2700" w:hanging="360"/>
      </w:pPr>
      <w:rPr>
        <w:rFonts w:ascii="Times New Roman" w:hAnsi="Times New Roman" w:hint="default"/>
      </w:rPr>
    </w:lvl>
    <w:lvl w:ilvl="4" w:tplc="92843D7C" w:tentative="1">
      <w:start w:val="1"/>
      <w:numFmt w:val="bullet"/>
      <w:lvlText w:val="•"/>
      <w:lvlJc w:val="left"/>
      <w:pPr>
        <w:tabs>
          <w:tab w:val="num" w:pos="3420"/>
        </w:tabs>
        <w:ind w:left="3420" w:hanging="360"/>
      </w:pPr>
      <w:rPr>
        <w:rFonts w:ascii="Times New Roman" w:hAnsi="Times New Roman" w:hint="default"/>
      </w:rPr>
    </w:lvl>
    <w:lvl w:ilvl="5" w:tplc="1DD84B0E" w:tentative="1">
      <w:start w:val="1"/>
      <w:numFmt w:val="bullet"/>
      <w:lvlText w:val="•"/>
      <w:lvlJc w:val="left"/>
      <w:pPr>
        <w:tabs>
          <w:tab w:val="num" w:pos="4140"/>
        </w:tabs>
        <w:ind w:left="4140" w:hanging="360"/>
      </w:pPr>
      <w:rPr>
        <w:rFonts w:ascii="Times New Roman" w:hAnsi="Times New Roman" w:hint="default"/>
      </w:rPr>
    </w:lvl>
    <w:lvl w:ilvl="6" w:tplc="BA7E2642" w:tentative="1">
      <w:start w:val="1"/>
      <w:numFmt w:val="bullet"/>
      <w:lvlText w:val="•"/>
      <w:lvlJc w:val="left"/>
      <w:pPr>
        <w:tabs>
          <w:tab w:val="num" w:pos="4860"/>
        </w:tabs>
        <w:ind w:left="4860" w:hanging="360"/>
      </w:pPr>
      <w:rPr>
        <w:rFonts w:ascii="Times New Roman" w:hAnsi="Times New Roman" w:hint="default"/>
      </w:rPr>
    </w:lvl>
    <w:lvl w:ilvl="7" w:tplc="3A30AECC" w:tentative="1">
      <w:start w:val="1"/>
      <w:numFmt w:val="bullet"/>
      <w:lvlText w:val="•"/>
      <w:lvlJc w:val="left"/>
      <w:pPr>
        <w:tabs>
          <w:tab w:val="num" w:pos="5580"/>
        </w:tabs>
        <w:ind w:left="5580" w:hanging="360"/>
      </w:pPr>
      <w:rPr>
        <w:rFonts w:ascii="Times New Roman" w:hAnsi="Times New Roman" w:hint="default"/>
      </w:rPr>
    </w:lvl>
    <w:lvl w:ilvl="8" w:tplc="642AF896" w:tentative="1">
      <w:start w:val="1"/>
      <w:numFmt w:val="bullet"/>
      <w:lvlText w:val="•"/>
      <w:lvlJc w:val="left"/>
      <w:pPr>
        <w:tabs>
          <w:tab w:val="num" w:pos="6300"/>
        </w:tabs>
        <w:ind w:left="6300" w:hanging="360"/>
      </w:pPr>
      <w:rPr>
        <w:rFonts w:ascii="Times New Roman" w:hAnsi="Times New Roman" w:hint="default"/>
      </w:rPr>
    </w:lvl>
  </w:abstractNum>
  <w:abstractNum w:abstractNumId="1">
    <w:nsid w:val="30D63090"/>
    <w:multiLevelType w:val="hybridMultilevel"/>
    <w:tmpl w:val="5E54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E4ADF"/>
    <w:multiLevelType w:val="hybridMultilevel"/>
    <w:tmpl w:val="1A2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issoni">
    <w15:presenceInfo w15:providerId="Windows Live" w15:userId="3a4e3c3351d25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B1"/>
    <w:rsid w:val="00000D19"/>
    <w:rsid w:val="00005402"/>
    <w:rsid w:val="00013573"/>
    <w:rsid w:val="0001604B"/>
    <w:rsid w:val="000332DB"/>
    <w:rsid w:val="0004348E"/>
    <w:rsid w:val="000736C8"/>
    <w:rsid w:val="00082EB8"/>
    <w:rsid w:val="00087F7B"/>
    <w:rsid w:val="000962AB"/>
    <w:rsid w:val="000B1F2F"/>
    <w:rsid w:val="000B7152"/>
    <w:rsid w:val="000C3B8C"/>
    <w:rsid w:val="000D7892"/>
    <w:rsid w:val="000E25A9"/>
    <w:rsid w:val="000F0FC3"/>
    <w:rsid w:val="000F1C02"/>
    <w:rsid w:val="000F26D6"/>
    <w:rsid w:val="000F5E85"/>
    <w:rsid w:val="00104C3E"/>
    <w:rsid w:val="00130590"/>
    <w:rsid w:val="00155717"/>
    <w:rsid w:val="00161E8E"/>
    <w:rsid w:val="00177879"/>
    <w:rsid w:val="00186995"/>
    <w:rsid w:val="00191A32"/>
    <w:rsid w:val="00196A14"/>
    <w:rsid w:val="001C00AF"/>
    <w:rsid w:val="001C30F7"/>
    <w:rsid w:val="001E4DCD"/>
    <w:rsid w:val="001E7174"/>
    <w:rsid w:val="001F37E0"/>
    <w:rsid w:val="001F4E20"/>
    <w:rsid w:val="001F77B3"/>
    <w:rsid w:val="00206565"/>
    <w:rsid w:val="00212F86"/>
    <w:rsid w:val="0022646B"/>
    <w:rsid w:val="002356A7"/>
    <w:rsid w:val="002411C2"/>
    <w:rsid w:val="00265C05"/>
    <w:rsid w:val="0027442E"/>
    <w:rsid w:val="002841FF"/>
    <w:rsid w:val="0029000B"/>
    <w:rsid w:val="00293D33"/>
    <w:rsid w:val="002A0B40"/>
    <w:rsid w:val="002A24DD"/>
    <w:rsid w:val="002B29D3"/>
    <w:rsid w:val="002C0075"/>
    <w:rsid w:val="002E342F"/>
    <w:rsid w:val="002F7052"/>
    <w:rsid w:val="00312EA5"/>
    <w:rsid w:val="00316C17"/>
    <w:rsid w:val="003250ED"/>
    <w:rsid w:val="00335D9A"/>
    <w:rsid w:val="0034088E"/>
    <w:rsid w:val="003435AC"/>
    <w:rsid w:val="003621BC"/>
    <w:rsid w:val="00363563"/>
    <w:rsid w:val="00364FC5"/>
    <w:rsid w:val="003721C0"/>
    <w:rsid w:val="003C0A3E"/>
    <w:rsid w:val="003D420C"/>
    <w:rsid w:val="003E120E"/>
    <w:rsid w:val="003E3AC0"/>
    <w:rsid w:val="003F4FDD"/>
    <w:rsid w:val="004245D0"/>
    <w:rsid w:val="004317FD"/>
    <w:rsid w:val="004413DB"/>
    <w:rsid w:val="00457B1B"/>
    <w:rsid w:val="0047463F"/>
    <w:rsid w:val="00476961"/>
    <w:rsid w:val="004A0460"/>
    <w:rsid w:val="004A464C"/>
    <w:rsid w:val="004B4CC7"/>
    <w:rsid w:val="004C4F82"/>
    <w:rsid w:val="004D118E"/>
    <w:rsid w:val="004D678B"/>
    <w:rsid w:val="004F70DD"/>
    <w:rsid w:val="00512353"/>
    <w:rsid w:val="005226A4"/>
    <w:rsid w:val="00543E27"/>
    <w:rsid w:val="0055731C"/>
    <w:rsid w:val="005604C9"/>
    <w:rsid w:val="00564F87"/>
    <w:rsid w:val="00564FA4"/>
    <w:rsid w:val="00571F06"/>
    <w:rsid w:val="005812BA"/>
    <w:rsid w:val="0058217F"/>
    <w:rsid w:val="0058288B"/>
    <w:rsid w:val="00596179"/>
    <w:rsid w:val="005C07BA"/>
    <w:rsid w:val="005D4D05"/>
    <w:rsid w:val="00606B4F"/>
    <w:rsid w:val="006136CD"/>
    <w:rsid w:val="0061486D"/>
    <w:rsid w:val="0061698E"/>
    <w:rsid w:val="0063693F"/>
    <w:rsid w:val="006522AF"/>
    <w:rsid w:val="006672FA"/>
    <w:rsid w:val="00676B9E"/>
    <w:rsid w:val="00680B68"/>
    <w:rsid w:val="006821BA"/>
    <w:rsid w:val="00682D3B"/>
    <w:rsid w:val="00683339"/>
    <w:rsid w:val="006A79FF"/>
    <w:rsid w:val="006C2E7F"/>
    <w:rsid w:val="006C5F09"/>
    <w:rsid w:val="006D5E16"/>
    <w:rsid w:val="00715A8E"/>
    <w:rsid w:val="007168BF"/>
    <w:rsid w:val="00746633"/>
    <w:rsid w:val="007607B1"/>
    <w:rsid w:val="0076461D"/>
    <w:rsid w:val="00797533"/>
    <w:rsid w:val="007C05F8"/>
    <w:rsid w:val="007D77E5"/>
    <w:rsid w:val="007E5630"/>
    <w:rsid w:val="00825958"/>
    <w:rsid w:val="00830835"/>
    <w:rsid w:val="00833306"/>
    <w:rsid w:val="00844841"/>
    <w:rsid w:val="00845890"/>
    <w:rsid w:val="008473E3"/>
    <w:rsid w:val="00877567"/>
    <w:rsid w:val="008942E1"/>
    <w:rsid w:val="008B235C"/>
    <w:rsid w:val="008C2280"/>
    <w:rsid w:val="008D0126"/>
    <w:rsid w:val="008D0D01"/>
    <w:rsid w:val="00937E25"/>
    <w:rsid w:val="00943E6D"/>
    <w:rsid w:val="00955B88"/>
    <w:rsid w:val="009604E8"/>
    <w:rsid w:val="00960D24"/>
    <w:rsid w:val="00966204"/>
    <w:rsid w:val="0097238E"/>
    <w:rsid w:val="009875AF"/>
    <w:rsid w:val="00995494"/>
    <w:rsid w:val="009B4ACC"/>
    <w:rsid w:val="009C2602"/>
    <w:rsid w:val="009D6393"/>
    <w:rsid w:val="009F465A"/>
    <w:rsid w:val="00A27D7A"/>
    <w:rsid w:val="00A30D4C"/>
    <w:rsid w:val="00A356D4"/>
    <w:rsid w:val="00A604A0"/>
    <w:rsid w:val="00A82190"/>
    <w:rsid w:val="00AA4911"/>
    <w:rsid w:val="00AB00E4"/>
    <w:rsid w:val="00AB6028"/>
    <w:rsid w:val="00AC071A"/>
    <w:rsid w:val="00AC1A72"/>
    <w:rsid w:val="00AE492C"/>
    <w:rsid w:val="00AE6304"/>
    <w:rsid w:val="00B07C7A"/>
    <w:rsid w:val="00B112E7"/>
    <w:rsid w:val="00B150E9"/>
    <w:rsid w:val="00B175E5"/>
    <w:rsid w:val="00B36B71"/>
    <w:rsid w:val="00B4543F"/>
    <w:rsid w:val="00B501E7"/>
    <w:rsid w:val="00B609BB"/>
    <w:rsid w:val="00B705E2"/>
    <w:rsid w:val="00B76999"/>
    <w:rsid w:val="00B92EC4"/>
    <w:rsid w:val="00BA5F6F"/>
    <w:rsid w:val="00BB7C42"/>
    <w:rsid w:val="00BC2481"/>
    <w:rsid w:val="00BC7044"/>
    <w:rsid w:val="00BD3AC0"/>
    <w:rsid w:val="00BD4267"/>
    <w:rsid w:val="00BE0284"/>
    <w:rsid w:val="00BE0B47"/>
    <w:rsid w:val="00C02AFE"/>
    <w:rsid w:val="00C07789"/>
    <w:rsid w:val="00C14113"/>
    <w:rsid w:val="00C23D5A"/>
    <w:rsid w:val="00C716A1"/>
    <w:rsid w:val="00C744DA"/>
    <w:rsid w:val="00CA0556"/>
    <w:rsid w:val="00CA3A1F"/>
    <w:rsid w:val="00CB6C64"/>
    <w:rsid w:val="00CD17F9"/>
    <w:rsid w:val="00CD31A7"/>
    <w:rsid w:val="00CE4D21"/>
    <w:rsid w:val="00CF1E12"/>
    <w:rsid w:val="00D00914"/>
    <w:rsid w:val="00D036FC"/>
    <w:rsid w:val="00D05CAF"/>
    <w:rsid w:val="00D347A9"/>
    <w:rsid w:val="00D7729C"/>
    <w:rsid w:val="00D803A3"/>
    <w:rsid w:val="00D84301"/>
    <w:rsid w:val="00D9628B"/>
    <w:rsid w:val="00DB6D2E"/>
    <w:rsid w:val="00DC2BBD"/>
    <w:rsid w:val="00DC3F54"/>
    <w:rsid w:val="00DC7074"/>
    <w:rsid w:val="00DC7EE3"/>
    <w:rsid w:val="00DD35A5"/>
    <w:rsid w:val="00DD6626"/>
    <w:rsid w:val="00DE767B"/>
    <w:rsid w:val="00DF11AD"/>
    <w:rsid w:val="00DF390D"/>
    <w:rsid w:val="00E10B64"/>
    <w:rsid w:val="00E1133F"/>
    <w:rsid w:val="00E147E0"/>
    <w:rsid w:val="00E17BAD"/>
    <w:rsid w:val="00E256AB"/>
    <w:rsid w:val="00E30D45"/>
    <w:rsid w:val="00E45D70"/>
    <w:rsid w:val="00E83E22"/>
    <w:rsid w:val="00E84598"/>
    <w:rsid w:val="00EA2D90"/>
    <w:rsid w:val="00EB436A"/>
    <w:rsid w:val="00EB4EA2"/>
    <w:rsid w:val="00EB5313"/>
    <w:rsid w:val="00EB72C3"/>
    <w:rsid w:val="00EF0715"/>
    <w:rsid w:val="00EF6D8A"/>
    <w:rsid w:val="00F14D9B"/>
    <w:rsid w:val="00F2346B"/>
    <w:rsid w:val="00F41968"/>
    <w:rsid w:val="00F5562F"/>
    <w:rsid w:val="00F571B6"/>
    <w:rsid w:val="00F607DC"/>
    <w:rsid w:val="00F73974"/>
    <w:rsid w:val="00F76BD6"/>
    <w:rsid w:val="00F93FC4"/>
    <w:rsid w:val="00FA0376"/>
    <w:rsid w:val="00FB689B"/>
    <w:rsid w:val="00FC6D96"/>
    <w:rsid w:val="00FF1146"/>
    <w:rsid w:val="00FF19D8"/>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B1"/>
    <w:pPr>
      <w:tabs>
        <w:tab w:val="center" w:pos="4680"/>
        <w:tab w:val="right" w:pos="9360"/>
      </w:tabs>
    </w:pPr>
  </w:style>
  <w:style w:type="character" w:customStyle="1" w:styleId="HeaderChar">
    <w:name w:val="Header Char"/>
    <w:link w:val="Header"/>
    <w:uiPriority w:val="99"/>
    <w:rsid w:val="007607B1"/>
    <w:rPr>
      <w:sz w:val="24"/>
      <w:szCs w:val="24"/>
    </w:rPr>
  </w:style>
  <w:style w:type="paragraph" w:styleId="Footer">
    <w:name w:val="footer"/>
    <w:basedOn w:val="Normal"/>
    <w:link w:val="FooterChar"/>
    <w:uiPriority w:val="99"/>
    <w:unhideWhenUsed/>
    <w:rsid w:val="007607B1"/>
    <w:pPr>
      <w:tabs>
        <w:tab w:val="center" w:pos="4680"/>
        <w:tab w:val="right" w:pos="9360"/>
      </w:tabs>
    </w:pPr>
  </w:style>
  <w:style w:type="character" w:customStyle="1" w:styleId="FooterChar">
    <w:name w:val="Footer Char"/>
    <w:link w:val="Footer"/>
    <w:uiPriority w:val="99"/>
    <w:rsid w:val="007607B1"/>
    <w:rPr>
      <w:sz w:val="24"/>
      <w:szCs w:val="24"/>
    </w:rPr>
  </w:style>
  <w:style w:type="paragraph" w:styleId="BalloonText">
    <w:name w:val="Balloon Text"/>
    <w:basedOn w:val="Normal"/>
    <w:link w:val="BalloonTextChar"/>
    <w:uiPriority w:val="99"/>
    <w:semiHidden/>
    <w:unhideWhenUsed/>
    <w:rsid w:val="007607B1"/>
    <w:rPr>
      <w:rFonts w:ascii="Tahoma" w:hAnsi="Tahoma" w:cs="Tahoma"/>
      <w:sz w:val="16"/>
      <w:szCs w:val="16"/>
    </w:rPr>
  </w:style>
  <w:style w:type="character" w:customStyle="1" w:styleId="BalloonTextChar">
    <w:name w:val="Balloon Text Char"/>
    <w:link w:val="BalloonText"/>
    <w:uiPriority w:val="99"/>
    <w:semiHidden/>
    <w:rsid w:val="007607B1"/>
    <w:rPr>
      <w:rFonts w:ascii="Tahoma" w:hAnsi="Tahoma" w:cs="Tahoma"/>
      <w:sz w:val="16"/>
      <w:szCs w:val="16"/>
    </w:rPr>
  </w:style>
  <w:style w:type="paragraph" w:styleId="ListParagraph">
    <w:name w:val="List Paragraph"/>
    <w:basedOn w:val="Normal"/>
    <w:uiPriority w:val="34"/>
    <w:qFormat/>
    <w:rsid w:val="000332DB"/>
    <w:pPr>
      <w:ind w:left="720"/>
      <w:contextualSpacing/>
    </w:pPr>
  </w:style>
  <w:style w:type="character" w:styleId="Hyperlink">
    <w:name w:val="Hyperlink"/>
    <w:uiPriority w:val="99"/>
    <w:unhideWhenUsed/>
    <w:rsid w:val="00E84598"/>
    <w:rPr>
      <w:color w:val="0000FF"/>
      <w:u w:val="single"/>
    </w:rPr>
  </w:style>
  <w:style w:type="character" w:styleId="FollowedHyperlink">
    <w:name w:val="FollowedHyperlink"/>
    <w:basedOn w:val="DefaultParagraphFont"/>
    <w:uiPriority w:val="99"/>
    <w:semiHidden/>
    <w:unhideWhenUsed/>
    <w:rsid w:val="00EF6D8A"/>
    <w:rPr>
      <w:color w:val="800080" w:themeColor="followedHyperlink"/>
      <w:u w:val="single"/>
    </w:rPr>
  </w:style>
  <w:style w:type="paragraph" w:styleId="PlainText">
    <w:name w:val="Plain Text"/>
    <w:basedOn w:val="Normal"/>
    <w:link w:val="PlainTextChar"/>
    <w:uiPriority w:val="99"/>
    <w:semiHidden/>
    <w:unhideWhenUsed/>
    <w:rsid w:val="008B23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235C"/>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B1"/>
    <w:pPr>
      <w:tabs>
        <w:tab w:val="center" w:pos="4680"/>
        <w:tab w:val="right" w:pos="9360"/>
      </w:tabs>
    </w:pPr>
  </w:style>
  <w:style w:type="character" w:customStyle="1" w:styleId="HeaderChar">
    <w:name w:val="Header Char"/>
    <w:link w:val="Header"/>
    <w:uiPriority w:val="99"/>
    <w:rsid w:val="007607B1"/>
    <w:rPr>
      <w:sz w:val="24"/>
      <w:szCs w:val="24"/>
    </w:rPr>
  </w:style>
  <w:style w:type="paragraph" w:styleId="Footer">
    <w:name w:val="footer"/>
    <w:basedOn w:val="Normal"/>
    <w:link w:val="FooterChar"/>
    <w:uiPriority w:val="99"/>
    <w:unhideWhenUsed/>
    <w:rsid w:val="007607B1"/>
    <w:pPr>
      <w:tabs>
        <w:tab w:val="center" w:pos="4680"/>
        <w:tab w:val="right" w:pos="9360"/>
      </w:tabs>
    </w:pPr>
  </w:style>
  <w:style w:type="character" w:customStyle="1" w:styleId="FooterChar">
    <w:name w:val="Footer Char"/>
    <w:link w:val="Footer"/>
    <w:uiPriority w:val="99"/>
    <w:rsid w:val="007607B1"/>
    <w:rPr>
      <w:sz w:val="24"/>
      <w:szCs w:val="24"/>
    </w:rPr>
  </w:style>
  <w:style w:type="paragraph" w:styleId="BalloonText">
    <w:name w:val="Balloon Text"/>
    <w:basedOn w:val="Normal"/>
    <w:link w:val="BalloonTextChar"/>
    <w:uiPriority w:val="99"/>
    <w:semiHidden/>
    <w:unhideWhenUsed/>
    <w:rsid w:val="007607B1"/>
    <w:rPr>
      <w:rFonts w:ascii="Tahoma" w:hAnsi="Tahoma" w:cs="Tahoma"/>
      <w:sz w:val="16"/>
      <w:szCs w:val="16"/>
    </w:rPr>
  </w:style>
  <w:style w:type="character" w:customStyle="1" w:styleId="BalloonTextChar">
    <w:name w:val="Balloon Text Char"/>
    <w:link w:val="BalloonText"/>
    <w:uiPriority w:val="99"/>
    <w:semiHidden/>
    <w:rsid w:val="007607B1"/>
    <w:rPr>
      <w:rFonts w:ascii="Tahoma" w:hAnsi="Tahoma" w:cs="Tahoma"/>
      <w:sz w:val="16"/>
      <w:szCs w:val="16"/>
    </w:rPr>
  </w:style>
  <w:style w:type="paragraph" w:styleId="ListParagraph">
    <w:name w:val="List Paragraph"/>
    <w:basedOn w:val="Normal"/>
    <w:uiPriority w:val="34"/>
    <w:qFormat/>
    <w:rsid w:val="000332DB"/>
    <w:pPr>
      <w:ind w:left="720"/>
      <w:contextualSpacing/>
    </w:pPr>
  </w:style>
  <w:style w:type="character" w:styleId="Hyperlink">
    <w:name w:val="Hyperlink"/>
    <w:uiPriority w:val="99"/>
    <w:unhideWhenUsed/>
    <w:rsid w:val="00E84598"/>
    <w:rPr>
      <w:color w:val="0000FF"/>
      <w:u w:val="single"/>
    </w:rPr>
  </w:style>
  <w:style w:type="character" w:styleId="FollowedHyperlink">
    <w:name w:val="FollowedHyperlink"/>
    <w:basedOn w:val="DefaultParagraphFont"/>
    <w:uiPriority w:val="99"/>
    <w:semiHidden/>
    <w:unhideWhenUsed/>
    <w:rsid w:val="00EF6D8A"/>
    <w:rPr>
      <w:color w:val="800080" w:themeColor="followedHyperlink"/>
      <w:u w:val="single"/>
    </w:rPr>
  </w:style>
  <w:style w:type="paragraph" w:styleId="PlainText">
    <w:name w:val="Plain Text"/>
    <w:basedOn w:val="Normal"/>
    <w:link w:val="PlainTextChar"/>
    <w:uiPriority w:val="99"/>
    <w:semiHidden/>
    <w:unhideWhenUsed/>
    <w:rsid w:val="008B23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235C"/>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6041">
      <w:bodyDiv w:val="1"/>
      <w:marLeft w:val="0"/>
      <w:marRight w:val="0"/>
      <w:marTop w:val="0"/>
      <w:marBottom w:val="0"/>
      <w:divBdr>
        <w:top w:val="none" w:sz="0" w:space="0" w:color="auto"/>
        <w:left w:val="none" w:sz="0" w:space="0" w:color="auto"/>
        <w:bottom w:val="none" w:sz="0" w:space="0" w:color="auto"/>
        <w:right w:val="none" w:sz="0" w:space="0" w:color="auto"/>
      </w:divBdr>
    </w:div>
    <w:div w:id="632294822">
      <w:bodyDiv w:val="1"/>
      <w:marLeft w:val="0"/>
      <w:marRight w:val="0"/>
      <w:marTop w:val="0"/>
      <w:marBottom w:val="0"/>
      <w:divBdr>
        <w:top w:val="none" w:sz="0" w:space="0" w:color="auto"/>
        <w:left w:val="none" w:sz="0" w:space="0" w:color="auto"/>
        <w:bottom w:val="none" w:sz="0" w:space="0" w:color="auto"/>
        <w:right w:val="none" w:sz="0" w:space="0" w:color="auto"/>
      </w:divBdr>
    </w:div>
    <w:div w:id="663241804">
      <w:bodyDiv w:val="1"/>
      <w:marLeft w:val="0"/>
      <w:marRight w:val="0"/>
      <w:marTop w:val="0"/>
      <w:marBottom w:val="0"/>
      <w:divBdr>
        <w:top w:val="none" w:sz="0" w:space="0" w:color="auto"/>
        <w:left w:val="none" w:sz="0" w:space="0" w:color="auto"/>
        <w:bottom w:val="none" w:sz="0" w:space="0" w:color="auto"/>
        <w:right w:val="none" w:sz="0" w:space="0" w:color="auto"/>
      </w:divBdr>
    </w:div>
    <w:div w:id="1352223073">
      <w:bodyDiv w:val="1"/>
      <w:marLeft w:val="0"/>
      <w:marRight w:val="0"/>
      <w:marTop w:val="0"/>
      <w:marBottom w:val="0"/>
      <w:divBdr>
        <w:top w:val="none" w:sz="0" w:space="0" w:color="auto"/>
        <w:left w:val="none" w:sz="0" w:space="0" w:color="auto"/>
        <w:bottom w:val="none" w:sz="0" w:space="0" w:color="auto"/>
        <w:right w:val="none" w:sz="0" w:space="0" w:color="auto"/>
      </w:divBdr>
    </w:div>
    <w:div w:id="1645431350">
      <w:bodyDiv w:val="1"/>
      <w:marLeft w:val="0"/>
      <w:marRight w:val="0"/>
      <w:marTop w:val="0"/>
      <w:marBottom w:val="0"/>
      <w:divBdr>
        <w:top w:val="none" w:sz="0" w:space="0" w:color="auto"/>
        <w:left w:val="none" w:sz="0" w:space="0" w:color="auto"/>
        <w:bottom w:val="none" w:sz="0" w:space="0" w:color="auto"/>
        <w:right w:val="none" w:sz="0" w:space="0" w:color="auto"/>
      </w:divBdr>
      <w:divsChild>
        <w:div w:id="1106651780">
          <w:marLeft w:val="547"/>
          <w:marRight w:val="0"/>
          <w:marTop w:val="134"/>
          <w:marBottom w:val="0"/>
          <w:divBdr>
            <w:top w:val="none" w:sz="0" w:space="0" w:color="auto"/>
            <w:left w:val="none" w:sz="0" w:space="0" w:color="auto"/>
            <w:bottom w:val="none" w:sz="0" w:space="0" w:color="auto"/>
            <w:right w:val="none" w:sz="0" w:space="0" w:color="auto"/>
          </w:divBdr>
        </w:div>
        <w:div w:id="1431582214">
          <w:marLeft w:val="547"/>
          <w:marRight w:val="0"/>
          <w:marTop w:val="134"/>
          <w:marBottom w:val="0"/>
          <w:divBdr>
            <w:top w:val="none" w:sz="0" w:space="0" w:color="auto"/>
            <w:left w:val="none" w:sz="0" w:space="0" w:color="auto"/>
            <w:bottom w:val="none" w:sz="0" w:space="0" w:color="auto"/>
            <w:right w:val="none" w:sz="0" w:space="0" w:color="auto"/>
          </w:divBdr>
        </w:div>
        <w:div w:id="1673025978">
          <w:marLeft w:val="547"/>
          <w:marRight w:val="0"/>
          <w:marTop w:val="134"/>
          <w:marBottom w:val="0"/>
          <w:divBdr>
            <w:top w:val="none" w:sz="0" w:space="0" w:color="auto"/>
            <w:left w:val="none" w:sz="0" w:space="0" w:color="auto"/>
            <w:bottom w:val="none" w:sz="0" w:space="0" w:color="auto"/>
            <w:right w:val="none" w:sz="0" w:space="0" w:color="auto"/>
          </w:divBdr>
        </w:div>
        <w:div w:id="19147292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BD87-6732-4AFF-A802-80368E37AFA5}">
  <ds:schemaRefs>
    <ds:schemaRef ds:uri="http://schemas.openxmlformats.org/officeDocument/2006/bibliography"/>
  </ds:schemaRefs>
</ds:datastoreItem>
</file>

<file path=customXml/itemProps2.xml><?xml version="1.0" encoding="utf-8"?>
<ds:datastoreItem xmlns:ds="http://schemas.openxmlformats.org/officeDocument/2006/customXml" ds:itemID="{A1817764-6CD4-4704-A318-C16E7F7B83ED}">
  <ds:schemaRefs>
    <ds:schemaRef ds:uri="http://schemas.openxmlformats.org/officeDocument/2006/bibliography"/>
  </ds:schemaRefs>
</ds:datastoreItem>
</file>

<file path=customXml/itemProps3.xml><?xml version="1.0" encoding="utf-8"?>
<ds:datastoreItem xmlns:ds="http://schemas.openxmlformats.org/officeDocument/2006/customXml" ds:itemID="{9C7C8336-4564-49C7-B894-FCD8D06D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Agency Action – Processing Returns/Refunds of Employee Contributions to Retirement Health Fund (OPEB and OTRS)</vt:lpstr>
    </vt:vector>
  </TitlesOfParts>
  <Company>CORECT</Company>
  <LinksUpToDate>false</LinksUpToDate>
  <CharactersWithSpaces>1654</CharactersWithSpaces>
  <SharedDoc>false</SharedDoc>
  <HLinks>
    <vt:vector size="12" baseType="variant">
      <vt:variant>
        <vt:i4>2883648</vt:i4>
      </vt:variant>
      <vt:variant>
        <vt:i4>3</vt:i4>
      </vt:variant>
      <vt:variant>
        <vt:i4>0</vt:i4>
      </vt:variant>
      <vt:variant>
        <vt:i4>5</vt:i4>
      </vt:variant>
      <vt:variant>
        <vt:lpwstr>mailto:OSC.benefitcorrections@ct.gov</vt:lpwstr>
      </vt:variant>
      <vt:variant>
        <vt:lpwstr/>
      </vt:variant>
      <vt:variant>
        <vt:i4>4259879</vt:i4>
      </vt:variant>
      <vt:variant>
        <vt:i4>0</vt:i4>
      </vt:variant>
      <vt:variant>
        <vt:i4>0</vt:i4>
      </vt:variant>
      <vt:variant>
        <vt:i4>5</vt:i4>
      </vt:variant>
      <vt:variant>
        <vt:lpwstr>mailto:OSC.opeb@ct.gov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Action – Processing Returns/Refunds of Employee Contributions to Retirement Health Fund (OPEB and OTRS)</dc:title>
  <dc:creator>Galka, Shirley</dc:creator>
  <cp:lastModifiedBy>Nguyen, Lynne</cp:lastModifiedBy>
  <cp:revision>3</cp:revision>
  <cp:lastPrinted>2017-08-01T13:56:00Z</cp:lastPrinted>
  <dcterms:created xsi:type="dcterms:W3CDTF">2018-06-15T14:50:00Z</dcterms:created>
  <dcterms:modified xsi:type="dcterms:W3CDTF">2018-06-15T14:57:00Z</dcterms:modified>
</cp:coreProperties>
</file>